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INFORMÁCIE PRE DOTKNUTÉ OSOBY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 dobrovo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ľnom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úhlase k spracúvaniu dokladov preukazujúcich negatívny test na ochorenie COVID-19 alebo predlo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ženie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ýnimky pre prevádzkovate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ľa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 súlade s Nariadením Európskeho parlamentu a Rady (EÚ) 2016/679 z 27. apríla 2016 o ochrane fyzických osôb pri spracúvaní osobných údajov a o 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nariadenie o ochrane údajov) a so zákonom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18/2018 Z. z. o ochrane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a o zmene a doplnení niektorých zákonov,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informuje dotknut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é osoby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 zamestnancov,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žiakov,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ákonných zástupcov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žiakov o 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úvaní ich osobných údajov získaných predlo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ím kópie potvrdenia o negatívnom výsledku RT-PCR testu na ochorenie COVID-19 alebo výsledkom antigénového testu certifikovaného na území Európskej únie alebo potvrdenie o výnimke.</w:t>
      </w:r>
    </w:p>
    <w:p>
      <w:pPr>
        <w:numPr>
          <w:ilvl w:val="0"/>
          <w:numId w:val="3"/>
        </w:numPr>
        <w:spacing w:before="0" w:after="0" w:line="276"/>
        <w:ind w:right="0" w:left="3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Toto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žnosť a kontaktn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é údaje prevádzkovate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ľa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Názov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školy/školsk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zariadenia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: Gymn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zium Ladislava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bravu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(alebo zria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ďovateľa, ak škola alebo 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zariadenie nemá právnu subjektivitu)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ČO: </w:t>
        <w:tab/>
        <w:tab/>
        <w:tab/>
        <w:tab/>
        <w:t xml:space="preserve">17050090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sídlo: </w:t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Smetanov 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 285/8, 929 01 Dunajsk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Streda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webové sídlo: </w:t>
        <w:tab/>
        <w:tab/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0"/>
            <w:u w:val="single"/>
            <w:shd w:fill="FFFFFF" w:val="clear"/>
          </w:rPr>
          <w:t xml:space="preserve">https://gymnaziumds.edupage.org/</w:t>
        </w:r>
      </w:hyperlink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7"/>
        </w:numPr>
        <w:spacing w:before="0" w:after="0" w:line="276"/>
        <w:ind w:right="0" w:left="35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Kontaktné údaje zodpovednej osoby prevádzkovate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ľa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Zodpovednú osobu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ľa možno kontaktovať s 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ázkami týkajúcimi sa spracúvania osobných údajov dotknutých osôb a vo veci uplat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ňovania ich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 uvedených 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žšie na e-mailovej adrese: gymds@gymds.sk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0"/>
        </w:numPr>
        <w:spacing w:before="0" w:after="0" w:line="276"/>
        <w:ind w:right="0" w:left="35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Práva dotknutých osôb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FFFFFF" w:val="clear"/>
        </w:rPr>
      </w:pP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 prístup: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máte právo na poskytnutie kópie osobných údajov, ktoré o Vás máme k dispozícii, ako aj na informácie o tom, ako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 spracúvame. Vo vä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čšine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ípadov Vám budú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 poskytnuté v písomnej listinnej podobe, pokia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 nepožadujete 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spôsob ich poskytnutia. Ak ste o poskytnutie týchto informácií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žiadali elektronick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ými prostriedkami, budú Vám poskytnuté elektronicky, ak to bude technicky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 opravu: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prijímame primerané opatrenia, aby sme zabezpe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čili presnosť,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úplnos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a aktu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álnos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inform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ácií, ktoré o Vás máme k dispozícii. Ak sú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údaje, ktorými disponujeme nepresné, neúplné alebo neaktuálne, prosím, neváhajte nás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žiadať, aby sme tieto inform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ácie upravili, aktualizovali alebo doplnili.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 výmaz (na zabudnutie):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máte právo nás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žiadať o vymazanie Vašich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údajov, napríklad v prípade, ak osobné údaje, ktoré sme o Vás získali,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viac nie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potrebné na naplnenie pôvodného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čelu 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úvania.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ávo je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šak potrebn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posúdi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z pohľadu všetk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relevantných okolností. Napríklad, mô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žeme mať určit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právne a regula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povinnosti,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čo znamen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nebudeme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ôc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Vašej žiadosti vyhovieť.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 obmedzenie spracúvania: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za ur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okolností máte ako dotknutá osoba právo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žiadať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ás o obmedzenie spracúvania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. Ide napríklad o prípady, ke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 si mysl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íte,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údaje, ktoré o Vás máme, mô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žu byť nepresn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alebo ke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 si mysl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íte,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už Vaše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 nepotrebujeme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 prenosnos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ť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údajov: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za ur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okolností máte právo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žiadať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ás o prenos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údajov, ktoré ste nám poskytli, inému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ľovi.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ávo na prenosnos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sa však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ýka len osobných údajov, ktoré sme od Vás získali na základe súhlasu alebo na základe zmluvy, ktorej ste zmluvnou stranou a zárove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 sa 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úvanie predmetných osobných údajov vykonáva automatizovanými prostriedkami a prenos týchto osobných údajov je technicky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namieta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ť: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áte právo namieta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voči 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úvaniu údajov, ktoré je zalo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na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šich opr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ávnených záujmoch alebo za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čelom splnenia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 zverených úloh vo verejnom záujme alebo pri výkone verejnej moci. V prípade, ak nemáme preukázate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legitímny oprávnený dôvod na predmetné spracúvanie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a Vy podáte námietku, nebudeme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údaje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ďalej 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ť.</w:t>
      </w:r>
    </w:p>
    <w:p>
      <w:pPr>
        <w:numPr>
          <w:ilvl w:val="0"/>
          <w:numId w:val="12"/>
        </w:numPr>
        <w:spacing w:before="0" w:after="0" w:line="270"/>
        <w:ind w:right="41" w:left="756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Právo poda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ť 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ávrh na za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čatie konania o ochrane osobn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ých údajov: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ak sa domnievate,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sprac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úvaním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dochádza k poru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šovaniu Vašich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 ako dotknutej osoby, máte právo poda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ávrh na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čatie konania v zmysle ustanovenia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100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18/2018 Z. z. o ochrane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a o zmene a doplnení niektorých zákonov na príslu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dozorný orgán, ktorým je Úrad na ochranu osobných údajov Slovenskej republiky, Hrani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 12, 820 07 Bratislava 27; tel.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íslo: +421 /2/ 3231 3214; mail: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4D92"/>
            <w:spacing w:val="0"/>
            <w:position w:val="0"/>
            <w:sz w:val="20"/>
            <w:u w:val="single"/>
            <w:shd w:fill="auto" w:val="clear"/>
          </w:rPr>
          <w:t xml:space="preserve">statny.dozor@pdp.gov.sk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 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4D92"/>
            <w:spacing w:val="0"/>
            <w:position w:val="0"/>
            <w:sz w:val="20"/>
            <w:u w:val="single"/>
            <w:shd w:fill="auto" w:val="clear"/>
          </w:rPr>
          <w:t xml:space="preserve">https://dataprotection.gov.sk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 V prípade podania návrhu elektronickou formou je potrebné, aby sp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ĺňal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žitosti podľa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19 ods. 1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71/1967 Zb. o spr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ávnom konaní (správny poriadok).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35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čel sprac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úvania osobných údajov</w:t>
      </w:r>
    </w:p>
    <w:p>
      <w:pPr>
        <w:spacing w:before="100" w:after="375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Overenie oprávnenia na vstup do vnútorných a vonkaj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priestorov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ôl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zariadení je upravené v uznesení </w:t>
        <w:br/>
        <w:t xml:space="preserve">vlády Slovenskej republiky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203/2021 z 16. apr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íla 2021 k návrhu na opakované pred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ĺženie času trvania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údzového stavu pod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čl. 5 ods.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ústavného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227/2002 Z. z. o bezpečnosti št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átu 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čase vojny, vojnov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stavu, výnimo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stavu a núdzového stavu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predpisov vyhláseného uznesením vlády Slovenskej republiky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587 z 30. septembra 2020 a na prijatie opatren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čl. 5 ods. 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ústavného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227/2002 Z. z. o bezpečnosti št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átu 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čase vojny, vojnov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stavu, výnimo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stavu a núdzového stavu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predpisov.</w:t>
      </w:r>
    </w:p>
    <w:p>
      <w:pPr>
        <w:numPr>
          <w:ilvl w:val="0"/>
          <w:numId w:val="16"/>
        </w:numPr>
        <w:spacing w:before="120" w:after="120" w:line="276"/>
        <w:ind w:right="0" w:left="346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Právny základ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Uznesenie vlády Slovenskej republiky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203/2021 z 16. apr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íla 2021 k návrhu na opakované pred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ĺženie času trvania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údzového stavu pod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 čl. 5 ods. 2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ústavného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227/2002 Z. z. o bezpečnosti št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átu 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čase vojny, vojnov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stavu, výnimo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stavu a núdzového stavu v znení neskor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predpisov vyhláseného uznesením vlády Slovenskej republiky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587 z 30. septembra 2020 a na prijatie opatren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 čl. 5 ods. 4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ústavného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227/2002 Z. z. o bezpečnosti št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átu 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čase vojny, vojnov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stavu, výnimo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stavu a núdzového stavu v znení neskor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predpisov, sú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časne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13 ods. 1, písm. d)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18/2018 Z. z. o ochrane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údajov a o zmene a doplnení niektorých zákonov.</w:t>
      </w:r>
    </w:p>
    <w:p>
      <w:pPr>
        <w:numPr>
          <w:ilvl w:val="0"/>
          <w:numId w:val="18"/>
        </w:numPr>
        <w:spacing w:before="120" w:after="120" w:line="276"/>
        <w:ind w:right="0" w:left="346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Kategória príjemcov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Pokia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 to nebude vyžadovať všeobecne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áväzný právny predpis, získané osobné údaje nebudú poskytované tretím osobám.</w:t>
      </w:r>
    </w:p>
    <w:p>
      <w:pPr>
        <w:numPr>
          <w:ilvl w:val="0"/>
          <w:numId w:val="20"/>
        </w:numPr>
        <w:spacing w:before="120" w:after="120" w:line="276"/>
        <w:ind w:right="0" w:left="346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Doba uchovávania osobných údajov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Osobné údaje sa uchovávajú po dobu splnenia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čelu alebo do odvolania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úhlasu.</w:t>
      </w:r>
    </w:p>
    <w:p>
      <w:pPr>
        <w:numPr>
          <w:ilvl w:val="0"/>
          <w:numId w:val="22"/>
        </w:numPr>
        <w:spacing w:before="120" w:after="120" w:line="276"/>
        <w:ind w:right="0" w:left="346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Prenos osobných údajov do tretej krajiny alebo medzinárodnej organizácii a automatizované rozhodovanie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Prenos osobných údajov do tretích krajín alebo medzinárodnej organizácii sa neuskuto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čňuje.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Automatizované rozhodovanie vrátane profilovania sa nevykonáva.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7">
    <w:abstractNumId w:val="42"/>
  </w:num>
  <w:num w:numId="10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tny.dozor@pdp.gov.sk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gymnaziumds.edupage.org/" Id="docRId0" Type="http://schemas.openxmlformats.org/officeDocument/2006/relationships/hyperlink" /><Relationship TargetMode="External" Target="https://dataprotection.gov.sk/" Id="docRId2" Type="http://schemas.openxmlformats.org/officeDocument/2006/relationships/hyperlink" /><Relationship Target="styles.xml" Id="docRId4" Type="http://schemas.openxmlformats.org/officeDocument/2006/relationships/styles" /></Relationships>
</file>